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科技开发处横向课题审批流程</w:t>
      </w:r>
    </w:p>
    <w:p>
      <w:pPr>
        <w:jc w:val="center"/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（立项——经费认领——结题）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16"/>
          <w:szCs w:val="1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>1.项目立项</w:t>
      </w:r>
      <w:r>
        <w:rPr>
          <w:rFonts w:hint="eastAsia" w:ascii="仿宋" w:hAnsi="仿宋" w:eastAsia="仿宋" w:cs="仿宋"/>
          <w:b w:val="0"/>
          <w:bCs w:val="0"/>
          <w:color w:val="0070C0"/>
          <w:sz w:val="18"/>
          <w:szCs w:val="18"/>
          <w:highlight w:val="none"/>
          <w:lang w:val="en-US" w:eastAsia="zh-CN"/>
        </w:rPr>
        <w:t>（签订合同、科技处登记、科研系统申报）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1.1合同审批、签订与登记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1.1.1【横向课题合同审批】：OA协同办公系统——[工作流程]——[新建流程]——[科技开发处]——[横向课题合同审批]，提交合同初稿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*为便于下载审核，合同初稿请以文档形式提交，</w:t>
      </w:r>
      <w:r>
        <w:rPr>
          <w:rFonts w:hint="eastAsia" w:ascii="黑体" w:hAnsi="黑体" w:eastAsia="黑体" w:cs="黑体"/>
          <w:b/>
          <w:bCs/>
          <w:color w:val="7030A0"/>
          <w:sz w:val="22"/>
          <w:szCs w:val="22"/>
          <w:u w:val="single"/>
          <w:lang w:val="en-US" w:eastAsia="zh-CN"/>
        </w:rPr>
        <w:t>尽量不提交图片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*审批是科技处把关合同的必经流程，</w:t>
      </w:r>
      <w:r>
        <w:rPr>
          <w:rFonts w:hint="eastAsia" w:ascii="黑体" w:hAnsi="黑体" w:eastAsia="黑体" w:cs="黑体"/>
          <w:b/>
          <w:bCs/>
          <w:color w:val="7030A0"/>
          <w:sz w:val="22"/>
          <w:szCs w:val="22"/>
          <w:u w:val="single"/>
          <w:lang w:val="en-US" w:eastAsia="zh-CN"/>
        </w:rPr>
        <w:t>请勿在企业盖章后再申请审批！！！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1.1.2【合同盖章】项目负责人将审批通过的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一式多份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合同打印，加盖企业章、温州职业技术学院院章后，送至科技处510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加盖成果转化章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、进行横向课题登记、编号。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*合同书封面签订日期须与末页落款日期保持一致！！！甲方法定代表人处必须有签字！！！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default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*合同书科技开发处留档一份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1.2易普拉格科研系统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http://10.1.5.131:8080/userAction!do_casLogin.action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1.2.1【完善合同信息】：复制链接进入易普拉格科研系统，账号密码与OA一致——[科研项目]——[新增横向项目]——根据提示完成并提交，等待审核，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val="en-US" w:eastAsia="zh-CN"/>
        </w:rPr>
        <w:t>审核通过视为横向课题正式立项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*[合同经费]为合同税前总金额；</w:t>
      </w:r>
      <w:r>
        <w:rPr>
          <w:rFonts w:hint="eastAsia" w:ascii="黑体" w:hAnsi="黑体" w:eastAsia="黑体" w:cs="黑体"/>
          <w:b/>
          <w:bCs/>
          <w:i/>
          <w:iCs/>
          <w:color w:val="7030A0"/>
          <w:sz w:val="22"/>
          <w:szCs w:val="22"/>
          <w:u w:val="single"/>
          <w:lang w:val="en-US" w:eastAsia="zh-CN"/>
        </w:rPr>
        <w:t>[非免税金额（税后）]为合同税后总金额！！！；</w:t>
      </w: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[创新券金额]和[其他免税金额]按实际情况填写，若无则填0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default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*[合同成员]中，[是否为报销人]项目负责人指定1-2位项目组成员为报销审核人，其余均选“否”。科研课题差旅费实行无纸化报销，项目负责人务必在系统里勾选报销审核人以方便报销。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*[合同预算]中：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申请免税的项目，免税部分的预算不出现差旅费支出！！！；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项目负责人需根据实际情况填写[附加税]（发票税率3%的，附加税填0.4%；发票税率6%附加税填0.8%；免税填0）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*[文档]处上传盖章版PDF合同文档、发票等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default" w:ascii="仿宋" w:hAnsi="仿宋" w:eastAsia="仿宋" w:cs="仿宋"/>
          <w:color w:val="FF0000"/>
          <w:sz w:val="22"/>
          <w:szCs w:val="2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*未在科研系统完善合同信息，无法进行后续经费认领！！！</w:t>
      </w:r>
      <w:r>
        <w:rPr>
          <w:rFonts w:hint="eastAsia" w:ascii="仿宋" w:hAnsi="仿宋" w:eastAsia="仿宋" w:cs="仿宋"/>
          <w:b/>
          <w:bCs/>
          <w:color w:val="FF0000"/>
          <w:sz w:val="22"/>
          <w:szCs w:val="22"/>
          <w:u w:val="single"/>
          <w:lang w:val="en-US" w:eastAsia="zh-CN"/>
        </w:rPr>
        <w:t>且无法进行当年科研业绩申报！！！</w:t>
      </w:r>
    </w:p>
    <w:p>
      <w:pPr>
        <w:ind w:firstLine="360" w:firstLineChars="200"/>
        <w:rPr>
          <w:rFonts w:hint="default" w:ascii="Segoe UI" w:hAnsi="Segoe UI" w:cs="Segoe UI"/>
          <w:i w:val="0"/>
          <w:iCs w:val="0"/>
          <w:caps w:val="0"/>
          <w:color w:val="666666"/>
          <w:spacing w:val="0"/>
          <w:sz w:val="18"/>
          <w:szCs w:val="18"/>
          <w:shd w:val="clear" w:color="auto" w:fill="FFFFFF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>2.经费认领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经费到账后，项目负责人进入科研系统认领经费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2.1登录易普拉格科研系统——[科研项目]——在相应项目的右侧点击[业务办理]——[文档]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上传本次到账发票。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随后，返回易普拉格科研系统首页——[入账办理]——[摘要]处输入“横向”，检索——点击右侧“认领”，系统会自动跳出项目负责人经办项目，依据实际情况填写并提交，等待审核。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*[认领金额]为单笔到账的税后金额！！！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*[附件]上传银行回单；到账时间为银行回单的交易日期（现计财不提供回单，故以开票申请页面截图作为到账佐证）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default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*开票流程请咨询计财处张玥娜老师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2" w:firstLineChars="200"/>
        <w:textAlignment w:val="auto"/>
        <w:rPr>
          <w:rFonts w:hint="default" w:ascii="黑体" w:hAnsi="黑体" w:eastAsia="黑体" w:cs="黑体"/>
          <w:b/>
          <w:bCs/>
          <w:i/>
          <w:iCs/>
          <w:color w:val="7030A0"/>
          <w:sz w:val="22"/>
          <w:szCs w:val="2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i/>
          <w:iCs/>
          <w:color w:val="7030A0"/>
          <w:sz w:val="22"/>
          <w:szCs w:val="22"/>
          <w:u w:val="single"/>
          <w:lang w:val="en-US" w:eastAsia="zh-CN"/>
        </w:rPr>
        <w:t>*[来款类型]须勾选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2.2经费认领审核通过后，项目负责人主动联系科技处负责老师，由其将建卡单、预算表送至计财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*以往老师需亲自前往科技处建卡送往计财处，现由科技处在系统打印、统一送往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default" w:ascii="黑体" w:hAnsi="黑体" w:eastAsia="黑体" w:cs="黑体"/>
          <w:color w:val="7030A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7030A0"/>
          <w:sz w:val="22"/>
          <w:szCs w:val="22"/>
          <w:lang w:val="en-US" w:eastAsia="zh-CN"/>
        </w:rPr>
        <w:t>*未完成经费认领，不予结题！！！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>3.项目结题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3.1项目负责人提交一式两份纸质结题报告至科技处510盖章。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3.2进入系统完成结题申报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登录易普拉格科研系统——[科研项目]——在需结题项目的右侧点击[业务办理]——[结项]，上传结题报告，等待审核，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审核通过视为横向课题正式结项。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科技开发处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2021.11.24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55D8"/>
    <w:rsid w:val="06BC693E"/>
    <w:rsid w:val="07761248"/>
    <w:rsid w:val="0FF57BFE"/>
    <w:rsid w:val="10842FBC"/>
    <w:rsid w:val="111225B4"/>
    <w:rsid w:val="11C658A1"/>
    <w:rsid w:val="13573BFD"/>
    <w:rsid w:val="17C66975"/>
    <w:rsid w:val="1D535E20"/>
    <w:rsid w:val="1F7B55D8"/>
    <w:rsid w:val="225B1EA9"/>
    <w:rsid w:val="24F7755E"/>
    <w:rsid w:val="28A8365D"/>
    <w:rsid w:val="2B715E95"/>
    <w:rsid w:val="2DC67DDE"/>
    <w:rsid w:val="338C4D31"/>
    <w:rsid w:val="34336B80"/>
    <w:rsid w:val="3763289D"/>
    <w:rsid w:val="394C22F2"/>
    <w:rsid w:val="3AAB4BB8"/>
    <w:rsid w:val="40317B82"/>
    <w:rsid w:val="42477EBF"/>
    <w:rsid w:val="453B2318"/>
    <w:rsid w:val="45A64207"/>
    <w:rsid w:val="4E683412"/>
    <w:rsid w:val="4EDD639D"/>
    <w:rsid w:val="4EFC264C"/>
    <w:rsid w:val="4F8001B2"/>
    <w:rsid w:val="513C759B"/>
    <w:rsid w:val="577B7766"/>
    <w:rsid w:val="5AD33855"/>
    <w:rsid w:val="5C5727D4"/>
    <w:rsid w:val="5E8C6C4E"/>
    <w:rsid w:val="68573D6D"/>
    <w:rsid w:val="69AA76CA"/>
    <w:rsid w:val="6CC54FFA"/>
    <w:rsid w:val="6CE52E09"/>
    <w:rsid w:val="74D44CD2"/>
    <w:rsid w:val="7BCC055C"/>
    <w:rsid w:val="7D5D0826"/>
    <w:rsid w:val="7ECA668C"/>
    <w:rsid w:val="7F8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2021-11-24T09:47:00Z</dcterms:created>
  <dc:creator>何智</dc:creator>
  <cp:lastModifiedBy>何智</cp:lastModifiedBy>
  <dcterms:modified xsi:type="dcterms:W3CDTF">2022-04-06T03:08:19Z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602D72CC062E45F98A2C96CABD42F65D</vt:lpwstr>
  </property>
</Properties>
</file>